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961"/>
        <w:gridCol w:w="1560"/>
        <w:gridCol w:w="6945"/>
      </w:tblGrid>
      <w:tr w:rsidR="009B7A4D" w:rsidRPr="009B7837" w14:paraId="7CCA4835" w14:textId="77777777" w:rsidTr="00F6751B">
        <w:trPr>
          <w:trHeight w:val="567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7B92C8F6" w14:textId="77777777" w:rsidR="009B7A4D" w:rsidRPr="00F6751B" w:rsidRDefault="009B7A4D" w:rsidP="002837B1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 xml:space="preserve">Business </w:t>
            </w:r>
            <w:r w:rsidR="002837B1" w:rsidRPr="00F6751B"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ame:</w:t>
            </w:r>
          </w:p>
        </w:tc>
        <w:tc>
          <w:tcPr>
            <w:tcW w:w="13466" w:type="dxa"/>
            <w:gridSpan w:val="3"/>
            <w:tcBorders>
              <w:bottom w:val="single" w:sz="4" w:space="0" w:color="auto"/>
            </w:tcBorders>
            <w:vAlign w:val="bottom"/>
          </w:tcPr>
          <w:p w14:paraId="4934771C" w14:textId="656DFCB5" w:rsidR="009B7A4D" w:rsidRPr="008B5506" w:rsidRDefault="008B5506" w:rsidP="009B7A4D">
            <w:pPr>
              <w:tabs>
                <w:tab w:val="left" w:pos="7797"/>
              </w:tabs>
              <w:spacing w:before="0" w:after="0"/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</w:pPr>
            <w:r w:rsidRPr="008B5506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>PJ’s Vineyard</w:t>
            </w:r>
          </w:p>
        </w:tc>
      </w:tr>
      <w:tr w:rsidR="00B76768" w:rsidRPr="009B7837" w14:paraId="475A199A" w14:textId="77777777" w:rsidTr="00F6751B">
        <w:trPr>
          <w:trHeight w:val="56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410DB0" w14:textId="6576B0FF" w:rsidR="00B76768" w:rsidRPr="00F6751B" w:rsidRDefault="00B76768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Date conducted: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B723A2" w14:textId="783556D2" w:rsidR="00B76768" w:rsidRPr="008B5506" w:rsidRDefault="00250971" w:rsidP="009B7A4D">
            <w:pPr>
              <w:tabs>
                <w:tab w:val="left" w:pos="7797"/>
              </w:tabs>
              <w:spacing w:before="0" w:after="0"/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</w:pPr>
            <w:r w:rsidRPr="008B5506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>18</w:t>
            </w:r>
            <w:r w:rsidRPr="008B5506">
              <w:rPr>
                <w:rFonts w:ascii="Comic Sans MS" w:hAnsi="Comic Sans MS"/>
                <w:bCs/>
                <w:i/>
                <w:iCs/>
                <w:sz w:val="22"/>
                <w:szCs w:val="22"/>
                <w:vertAlign w:val="superscript"/>
              </w:rPr>
              <w:t>th</w:t>
            </w:r>
            <w:r w:rsidRPr="008B5506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 xml:space="preserve"> September 2020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EB9B9" w14:textId="31D28F77" w:rsidR="00B76768" w:rsidRPr="00F6751B" w:rsidRDefault="00B76768" w:rsidP="00B7676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F68F3" w14:textId="52711403" w:rsidR="00B76768" w:rsidRPr="008B5506" w:rsidRDefault="004A1136" w:rsidP="00BB08D5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B5506">
              <w:rPr>
                <w:rFonts w:ascii="Comic Sans MS" w:hAnsi="Comic Sans MS"/>
                <w:i/>
                <w:iCs/>
                <w:sz w:val="22"/>
                <w:szCs w:val="22"/>
              </w:rPr>
              <w:t>David Walker</w:t>
            </w:r>
          </w:p>
        </w:tc>
      </w:tr>
    </w:tbl>
    <w:p w14:paraId="6695154A" w14:textId="77777777" w:rsidR="00FC2B2C" w:rsidRPr="0017656E" w:rsidRDefault="00FC2B2C" w:rsidP="00D87978">
      <w:pPr>
        <w:spacing w:before="0"/>
      </w:pPr>
    </w:p>
    <w:tbl>
      <w:tblPr>
        <w:tblStyle w:val="TableGrid"/>
        <w:tblW w:w="4973" w:type="pct"/>
        <w:tblLook w:val="04A0" w:firstRow="1" w:lastRow="0" w:firstColumn="1" w:lastColumn="0" w:noHBand="0" w:noVBand="1"/>
      </w:tblPr>
      <w:tblGrid>
        <w:gridCol w:w="1762"/>
        <w:gridCol w:w="4716"/>
        <w:gridCol w:w="8827"/>
      </w:tblGrid>
      <w:tr w:rsidR="00B76768" w:rsidRPr="00B76768" w14:paraId="34DB7E46" w14:textId="77777777" w:rsidTr="002B06DD">
        <w:trPr>
          <w:trHeight w:val="545"/>
        </w:trPr>
        <w:tc>
          <w:tcPr>
            <w:tcW w:w="1762" w:type="dxa"/>
            <w:shd w:val="clear" w:color="auto" w:fill="D9D9D9" w:themeFill="background1" w:themeFillShade="D9"/>
          </w:tcPr>
          <w:p w14:paraId="04486626" w14:textId="214900E5" w:rsidR="00B76768" w:rsidRPr="00B76768" w:rsidRDefault="00B76768" w:rsidP="00B76768">
            <w:pPr>
              <w:tabs>
                <w:tab w:val="left" w:pos="3735"/>
              </w:tabs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Elements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14:paraId="6883644B" w14:textId="048DD884" w:rsidR="00B76768" w:rsidRPr="00B76768" w:rsidRDefault="00B76768" w:rsidP="00B7676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Suggested areas to consider</w:t>
            </w:r>
          </w:p>
        </w:tc>
        <w:tc>
          <w:tcPr>
            <w:tcW w:w="8827" w:type="dxa"/>
            <w:shd w:val="clear" w:color="auto" w:fill="D9D9D9" w:themeFill="background1" w:themeFillShade="D9"/>
          </w:tcPr>
          <w:p w14:paraId="13AB7CB2" w14:textId="1C5338BC" w:rsidR="00B76768" w:rsidRPr="00B76768" w:rsidRDefault="00D87978" w:rsidP="00B7676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B</w:t>
            </w:r>
            <w:r w:rsidRPr="00D87978">
              <w:rPr>
                <w:rFonts w:asciiTheme="minorHAnsi" w:hAnsiTheme="minorHAnsi"/>
                <w:b/>
                <w:sz w:val="22"/>
                <w:szCs w:val="22"/>
              </w:rPr>
              <w:t>usiness, community and</w:t>
            </w:r>
            <w:r w:rsidR="00F57578">
              <w:rPr>
                <w:rFonts w:asciiTheme="minorHAnsi" w:hAnsiTheme="minorHAnsi"/>
                <w:b/>
                <w:sz w:val="22"/>
                <w:szCs w:val="22"/>
              </w:rPr>
              <w:t>/or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environmental risks and assets</w:t>
            </w:r>
            <w:r w:rsidR="00B76768" w:rsidRPr="00B76768">
              <w:rPr>
                <w:rFonts w:asciiTheme="minorHAnsi" w:hAnsiTheme="minorHAnsi"/>
                <w:b/>
                <w:sz w:val="22"/>
                <w:szCs w:val="22"/>
              </w:rPr>
              <w:t xml:space="preserve"> identified: </w:t>
            </w:r>
          </w:p>
        </w:tc>
      </w:tr>
      <w:tr w:rsidR="00D87978" w:rsidRPr="00B76768" w14:paraId="4A85AB89" w14:textId="77777777" w:rsidTr="002B06DD">
        <w:trPr>
          <w:trHeight w:val="695"/>
        </w:trPr>
        <w:tc>
          <w:tcPr>
            <w:tcW w:w="1762" w:type="dxa"/>
          </w:tcPr>
          <w:p w14:paraId="63881374" w14:textId="58428D0A" w:rsidR="00D87978" w:rsidRPr="00D87978" w:rsidRDefault="00D87978" w:rsidP="00D8797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Business</w:t>
            </w:r>
          </w:p>
        </w:tc>
        <w:tc>
          <w:tcPr>
            <w:tcW w:w="4716" w:type="dxa"/>
          </w:tcPr>
          <w:p w14:paraId="765F22AD" w14:textId="1E5AB046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Staff training and development</w:t>
            </w:r>
            <w:r w:rsidRPr="00B76768">
              <w:rPr>
                <w:rFonts w:asciiTheme="minorHAnsi" w:hAnsiTheme="minorHAnsi"/>
                <w:sz w:val="22"/>
                <w:szCs w:val="22"/>
              </w:rPr>
              <w:t>, food recovery (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Fareshare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FoodBank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OzHarvest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SecondBite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>).</w:t>
            </w:r>
          </w:p>
        </w:tc>
        <w:tc>
          <w:tcPr>
            <w:tcW w:w="8827" w:type="dxa"/>
          </w:tcPr>
          <w:p w14:paraId="3AC24960" w14:textId="4BB415E0" w:rsidR="00D87978" w:rsidRPr="00B76768" w:rsidRDefault="004A1136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omic Sans MS" w:hAnsi="Comic Sans MS"/>
                <w:i/>
                <w:sz w:val="22"/>
                <w:szCs w:val="22"/>
              </w:rPr>
              <w:t xml:space="preserve">N/A </w:t>
            </w:r>
          </w:p>
        </w:tc>
      </w:tr>
      <w:tr w:rsidR="002B06DD" w:rsidRPr="00B76768" w14:paraId="58DF10E0" w14:textId="77777777" w:rsidTr="002B06DD">
        <w:trPr>
          <w:trHeight w:val="705"/>
        </w:trPr>
        <w:tc>
          <w:tcPr>
            <w:tcW w:w="1762" w:type="dxa"/>
          </w:tcPr>
          <w:p w14:paraId="05128170" w14:textId="4BD450C5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Community</w:t>
            </w:r>
          </w:p>
        </w:tc>
        <w:tc>
          <w:tcPr>
            <w:tcW w:w="4716" w:type="dxa"/>
          </w:tcPr>
          <w:p w14:paraId="31FC50EC" w14:textId="5A65FA81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Community works, rehabilitation projects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827" w:type="dxa"/>
          </w:tcPr>
          <w:p w14:paraId="37B94028" w14:textId="012A954B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 xml:space="preserve">Working with local Landcare group to revegetate and control erosion surrounding local river. </w:t>
            </w:r>
          </w:p>
        </w:tc>
      </w:tr>
      <w:tr w:rsidR="002B06DD" w:rsidRPr="00B76768" w14:paraId="281A31D3" w14:textId="77777777" w:rsidTr="002B06DD">
        <w:trPr>
          <w:trHeight w:val="688"/>
        </w:trPr>
        <w:tc>
          <w:tcPr>
            <w:tcW w:w="1762" w:type="dxa"/>
          </w:tcPr>
          <w:p w14:paraId="48E3EFBC" w14:textId="77A40F76" w:rsidR="002B06DD" w:rsidRPr="00B76768" w:rsidRDefault="002B06DD" w:rsidP="002B06DD">
            <w:pPr>
              <w:rPr>
                <w:b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Biosecurity</w:t>
            </w:r>
          </w:p>
        </w:tc>
        <w:tc>
          <w:tcPr>
            <w:tcW w:w="4716" w:type="dxa"/>
          </w:tcPr>
          <w:p w14:paraId="6B70D563" w14:textId="6BF214F4" w:rsidR="002B06DD" w:rsidRPr="00B76768" w:rsidRDefault="002B06DD" w:rsidP="002B06DD">
            <w:r w:rsidRPr="00B76768">
              <w:rPr>
                <w:rFonts w:asciiTheme="minorHAnsi" w:hAnsiTheme="minorHAnsi"/>
                <w:sz w:val="22"/>
                <w:szCs w:val="22"/>
              </w:rPr>
              <w:t>Site access, potential industry/regional risks.</w:t>
            </w:r>
          </w:p>
        </w:tc>
        <w:tc>
          <w:tcPr>
            <w:tcW w:w="8827" w:type="dxa"/>
          </w:tcPr>
          <w:p w14:paraId="62B72BDA" w14:textId="2E056A37" w:rsidR="002B06DD" w:rsidRPr="00B76768" w:rsidRDefault="002B06DD" w:rsidP="002B06DD">
            <w:r w:rsidRPr="006C7948">
              <w:rPr>
                <w:rFonts w:ascii="Comic Sans MS" w:hAnsi="Comic Sans MS"/>
                <w:i/>
                <w:sz w:val="22"/>
                <w:szCs w:val="22"/>
              </w:rPr>
              <w:t>Potential for soil transmitted diseases from neighbours / unauthorised persons accessing property.</w:t>
            </w:r>
          </w:p>
        </w:tc>
      </w:tr>
      <w:tr w:rsidR="002B06DD" w:rsidRPr="00B76768" w14:paraId="7DD157D1" w14:textId="77777777" w:rsidTr="002B06DD">
        <w:trPr>
          <w:trHeight w:val="688"/>
        </w:trPr>
        <w:tc>
          <w:tcPr>
            <w:tcW w:w="1762" w:type="dxa"/>
          </w:tcPr>
          <w:p w14:paraId="0097531F" w14:textId="57A7E297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Land and soil</w:t>
            </w:r>
          </w:p>
        </w:tc>
        <w:tc>
          <w:tcPr>
            <w:tcW w:w="4716" w:type="dxa"/>
          </w:tcPr>
          <w:p w14:paraId="485C7566" w14:textId="5EACA819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 xml:space="preserve">Salinity, soil acidity and alkalinity,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sodicity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>, soil degradation, compaction, contaminated land.</w:t>
            </w:r>
          </w:p>
        </w:tc>
        <w:tc>
          <w:tcPr>
            <w:tcW w:w="8827" w:type="dxa"/>
          </w:tcPr>
          <w:p w14:paraId="1E10992F" w14:textId="5EA936A3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 xml:space="preserve">Compaction in </w:t>
            </w:r>
            <w:r>
              <w:rPr>
                <w:rFonts w:ascii="Comic Sans MS" w:hAnsi="Comic Sans MS"/>
                <w:i/>
                <w:sz w:val="22"/>
                <w:szCs w:val="22"/>
              </w:rPr>
              <w:t>Vineyard</w:t>
            </w:r>
            <w:r w:rsidRPr="006C7948">
              <w:rPr>
                <w:rFonts w:ascii="Comic Sans MS" w:hAnsi="Comic Sans MS"/>
                <w:i/>
                <w:sz w:val="22"/>
                <w:szCs w:val="22"/>
              </w:rPr>
              <w:t xml:space="preserve"> rows.</w:t>
            </w:r>
          </w:p>
        </w:tc>
      </w:tr>
      <w:tr w:rsidR="002B06DD" w:rsidRPr="00B76768" w14:paraId="690D9DBB" w14:textId="77777777" w:rsidTr="006E3AEB">
        <w:trPr>
          <w:trHeight w:val="626"/>
        </w:trPr>
        <w:tc>
          <w:tcPr>
            <w:tcW w:w="1762" w:type="dxa"/>
          </w:tcPr>
          <w:p w14:paraId="6322F285" w14:textId="46C0971D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Nutrient management</w:t>
            </w:r>
          </w:p>
        </w:tc>
        <w:tc>
          <w:tcPr>
            <w:tcW w:w="4716" w:type="dxa"/>
          </w:tcPr>
          <w:p w14:paraId="4EBED36C" w14:textId="49BA0FA6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Inappropriate use, misplacement of fertiliser, nutrient leaching.</w:t>
            </w:r>
          </w:p>
        </w:tc>
        <w:tc>
          <w:tcPr>
            <w:tcW w:w="8827" w:type="dxa"/>
          </w:tcPr>
          <w:p w14:paraId="09C1C0C9" w14:textId="1641D3DF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>Potential for run-off near riparian areas.</w:t>
            </w:r>
          </w:p>
        </w:tc>
      </w:tr>
      <w:tr w:rsidR="002B06DD" w:rsidRPr="00B76768" w14:paraId="33F832BB" w14:textId="77777777" w:rsidTr="002B06DD">
        <w:trPr>
          <w:trHeight w:val="693"/>
        </w:trPr>
        <w:tc>
          <w:tcPr>
            <w:tcW w:w="1762" w:type="dxa"/>
          </w:tcPr>
          <w:p w14:paraId="4A691069" w14:textId="478F3281" w:rsidR="002B06DD" w:rsidRPr="00D87978" w:rsidRDefault="002B06DD" w:rsidP="002B06D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Pest and disease management</w:t>
            </w:r>
          </w:p>
        </w:tc>
        <w:tc>
          <w:tcPr>
            <w:tcW w:w="4716" w:type="dxa"/>
          </w:tcPr>
          <w:p w14:paraId="3BA76130" w14:textId="606FB681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Chemical s</w:t>
            </w:r>
            <w:r w:rsidRPr="00B76768">
              <w:rPr>
                <w:rFonts w:asciiTheme="minorHAnsi" w:hAnsiTheme="minorHAnsi"/>
                <w:sz w:val="22"/>
                <w:szCs w:val="22"/>
              </w:rPr>
              <w:t>torage facilities, application/use, alternatives (IPM), disposal.</w:t>
            </w:r>
          </w:p>
        </w:tc>
        <w:tc>
          <w:tcPr>
            <w:tcW w:w="8827" w:type="dxa"/>
          </w:tcPr>
          <w:p w14:paraId="1F484E7F" w14:textId="79955DD7" w:rsidR="002B06DD" w:rsidRPr="00B76768" w:rsidRDefault="006E3AEB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>Potential for spills and run-off from mixing site.</w:t>
            </w:r>
          </w:p>
        </w:tc>
      </w:tr>
      <w:tr w:rsidR="002B06DD" w:rsidRPr="00B76768" w14:paraId="1EE6F2AD" w14:textId="77777777" w:rsidTr="002B06DD">
        <w:trPr>
          <w:trHeight w:val="711"/>
        </w:trPr>
        <w:tc>
          <w:tcPr>
            <w:tcW w:w="1762" w:type="dxa"/>
          </w:tcPr>
          <w:p w14:paraId="7D3913FF" w14:textId="2BD74118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Water</w:t>
            </w:r>
          </w:p>
        </w:tc>
        <w:tc>
          <w:tcPr>
            <w:tcW w:w="4716" w:type="dxa"/>
          </w:tcPr>
          <w:p w14:paraId="11C114DA" w14:textId="7BE8F601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Inefficient use, run-off/discharge, water quality, storage, availability, waterways, riparian areas.</w:t>
            </w:r>
          </w:p>
        </w:tc>
        <w:tc>
          <w:tcPr>
            <w:tcW w:w="8827" w:type="dxa"/>
          </w:tcPr>
          <w:p w14:paraId="3749A25F" w14:textId="1D4FAB19" w:rsidR="002B06DD" w:rsidRPr="00B76768" w:rsidRDefault="002B06DD" w:rsidP="00EE31AD">
            <w:pPr>
              <w:tabs>
                <w:tab w:val="left" w:pos="1500"/>
              </w:tabs>
              <w:rPr>
                <w:rFonts w:asciiTheme="minorHAnsi" w:hAnsiTheme="minorHAnsi"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>Potential for run-off to reach riparian areas.</w:t>
            </w:r>
            <w:r w:rsidR="00EE31AD">
              <w:rPr>
                <w:rFonts w:ascii="Comic Sans MS" w:hAnsi="Comic Sans MS"/>
                <w:i/>
                <w:sz w:val="22"/>
                <w:szCs w:val="22"/>
              </w:rPr>
              <w:t xml:space="preserve"> </w:t>
            </w:r>
            <w:r w:rsidR="00EE31AD" w:rsidRPr="00BA7A83">
              <w:rPr>
                <w:rFonts w:ascii="Comic Sans MS" w:hAnsi="Comic Sans MS"/>
                <w:i/>
                <w:color w:val="000000" w:themeColor="text1"/>
                <w:sz w:val="22"/>
                <w:szCs w:val="22"/>
              </w:rPr>
              <w:t>Revegetation of riparian zone</w:t>
            </w:r>
            <w:r w:rsidR="00EE31AD">
              <w:rPr>
                <w:rFonts w:ascii="Comic Sans MS" w:hAnsi="Comic Sans MS"/>
                <w:i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  <w:tr w:rsidR="002B06DD" w:rsidRPr="00B76768" w14:paraId="50716540" w14:textId="77777777" w:rsidTr="006E3AEB">
        <w:trPr>
          <w:trHeight w:val="797"/>
        </w:trPr>
        <w:tc>
          <w:tcPr>
            <w:tcW w:w="1762" w:type="dxa"/>
          </w:tcPr>
          <w:p w14:paraId="2E2260C9" w14:textId="33327EB9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Biodiversity</w:t>
            </w:r>
          </w:p>
        </w:tc>
        <w:tc>
          <w:tcPr>
            <w:tcW w:w="4716" w:type="dxa"/>
          </w:tcPr>
          <w:p w14:paraId="77E7C06E" w14:textId="33344A83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 xml:space="preserve">Loss of biodiversity, regionally significant biodiversity, </w:t>
            </w:r>
            <w:r>
              <w:rPr>
                <w:rFonts w:asciiTheme="minorHAnsi" w:hAnsiTheme="minorHAnsi"/>
                <w:sz w:val="22"/>
                <w:szCs w:val="22"/>
              </w:rPr>
              <w:t>protected species/land, feral animals, invasive species.</w:t>
            </w:r>
          </w:p>
        </w:tc>
        <w:tc>
          <w:tcPr>
            <w:tcW w:w="8827" w:type="dxa"/>
          </w:tcPr>
          <w:p w14:paraId="182C072F" w14:textId="77777777" w:rsidR="002B06DD" w:rsidRPr="006C7948" w:rsidRDefault="002B06DD" w:rsidP="002B06DD">
            <w:pPr>
              <w:tabs>
                <w:tab w:val="left" w:pos="7797"/>
              </w:tabs>
              <w:spacing w:before="0" w:after="0"/>
              <w:rPr>
                <w:rFonts w:ascii="Comic Sans MS" w:hAnsi="Comic Sans MS"/>
                <w:i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 xml:space="preserve">Native animals and vegetation. </w:t>
            </w:r>
          </w:p>
          <w:p w14:paraId="10CE2BC2" w14:textId="674319FD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 xml:space="preserve">Wild </w:t>
            </w:r>
            <w:r w:rsidR="004A1136">
              <w:rPr>
                <w:rFonts w:ascii="Comic Sans MS" w:hAnsi="Comic Sans MS"/>
                <w:i/>
                <w:sz w:val="22"/>
                <w:szCs w:val="22"/>
              </w:rPr>
              <w:t>goats</w:t>
            </w:r>
            <w:r w:rsidRPr="006C7948">
              <w:rPr>
                <w:rFonts w:ascii="Comic Sans MS" w:hAnsi="Comic Sans MS"/>
                <w:i/>
                <w:sz w:val="22"/>
                <w:szCs w:val="22"/>
              </w:rPr>
              <w:t>.</w:t>
            </w:r>
          </w:p>
        </w:tc>
      </w:tr>
      <w:tr w:rsidR="002B06DD" w:rsidRPr="00B76768" w14:paraId="61A50259" w14:textId="77777777" w:rsidTr="002B06DD">
        <w:trPr>
          <w:trHeight w:val="690"/>
        </w:trPr>
        <w:tc>
          <w:tcPr>
            <w:tcW w:w="1762" w:type="dxa"/>
          </w:tcPr>
          <w:p w14:paraId="301BB045" w14:textId="30D39193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Waste</w:t>
            </w:r>
          </w:p>
        </w:tc>
        <w:tc>
          <w:tcPr>
            <w:tcW w:w="4716" w:type="dxa"/>
          </w:tcPr>
          <w:p w14:paraId="3146124C" w14:textId="3F847FC8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Inappropriate disposal, inefficient use of resources, waste recovery.</w:t>
            </w:r>
          </w:p>
        </w:tc>
        <w:tc>
          <w:tcPr>
            <w:tcW w:w="8827" w:type="dxa"/>
          </w:tcPr>
          <w:p w14:paraId="6838AF2B" w14:textId="749F4BE0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>Machinery oils – lack of disposal options.</w:t>
            </w:r>
          </w:p>
        </w:tc>
      </w:tr>
      <w:tr w:rsidR="002B06DD" w:rsidRPr="00B76768" w14:paraId="14B9CE5D" w14:textId="77777777" w:rsidTr="006E3AEB">
        <w:trPr>
          <w:trHeight w:val="537"/>
        </w:trPr>
        <w:tc>
          <w:tcPr>
            <w:tcW w:w="1762" w:type="dxa"/>
          </w:tcPr>
          <w:p w14:paraId="612306AC" w14:textId="45182CA8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Air</w:t>
            </w:r>
          </w:p>
        </w:tc>
        <w:tc>
          <w:tcPr>
            <w:tcW w:w="4716" w:type="dxa"/>
          </w:tcPr>
          <w:p w14:paraId="17C3D705" w14:textId="4B75FBAD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Dust, smoke, noise, lights.</w:t>
            </w:r>
          </w:p>
        </w:tc>
        <w:tc>
          <w:tcPr>
            <w:tcW w:w="8827" w:type="dxa"/>
          </w:tcPr>
          <w:p w14:paraId="4F1C88D2" w14:textId="4FD55210" w:rsidR="002B06DD" w:rsidRPr="00B76768" w:rsidRDefault="002B06DD" w:rsidP="002B06DD">
            <w:pPr>
              <w:rPr>
                <w:rFonts w:asciiTheme="minorHAnsi" w:hAnsiTheme="minorHAnsi"/>
                <w:sz w:val="22"/>
                <w:szCs w:val="22"/>
              </w:rPr>
            </w:pPr>
            <w:r w:rsidRPr="006C7948">
              <w:rPr>
                <w:rFonts w:ascii="Comic Sans MS" w:hAnsi="Comic Sans MS"/>
                <w:i/>
                <w:sz w:val="22"/>
                <w:szCs w:val="22"/>
              </w:rPr>
              <w:t>Smoke from burn-offs</w:t>
            </w:r>
            <w:r w:rsidR="004A1136">
              <w:rPr>
                <w:rFonts w:ascii="Comic Sans MS" w:hAnsi="Comic Sans MS"/>
                <w:i/>
                <w:sz w:val="22"/>
                <w:szCs w:val="22"/>
              </w:rPr>
              <w:t xml:space="preserve"> and unmaintained equipment</w:t>
            </w:r>
            <w:r w:rsidRPr="006C7948">
              <w:rPr>
                <w:rFonts w:ascii="Comic Sans MS" w:hAnsi="Comic Sans MS"/>
                <w:i/>
                <w:sz w:val="22"/>
                <w:szCs w:val="22"/>
              </w:rPr>
              <w:t>.</w:t>
            </w:r>
          </w:p>
        </w:tc>
      </w:tr>
      <w:tr w:rsidR="002B06DD" w:rsidRPr="00B76768" w14:paraId="7767D6E8" w14:textId="77777777" w:rsidTr="006E3AEB">
        <w:trPr>
          <w:trHeight w:val="485"/>
        </w:trPr>
        <w:tc>
          <w:tcPr>
            <w:tcW w:w="1762" w:type="dxa"/>
          </w:tcPr>
          <w:p w14:paraId="74432DFB" w14:textId="0845031A" w:rsidR="002B06DD" w:rsidRPr="00B76768" w:rsidRDefault="002B06DD" w:rsidP="002B06DD">
            <w:pPr>
              <w:rPr>
                <w:b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Energy and fuel</w:t>
            </w:r>
          </w:p>
        </w:tc>
        <w:tc>
          <w:tcPr>
            <w:tcW w:w="4716" w:type="dxa"/>
          </w:tcPr>
          <w:p w14:paraId="5047F14A" w14:textId="5A94BB75" w:rsidR="002B06DD" w:rsidRPr="00B76768" w:rsidRDefault="002B06DD" w:rsidP="002B06DD">
            <w:r w:rsidRPr="00B76768">
              <w:rPr>
                <w:rFonts w:asciiTheme="minorHAnsi" w:hAnsiTheme="minorHAnsi"/>
                <w:sz w:val="22"/>
                <w:szCs w:val="22"/>
              </w:rPr>
              <w:t>Inefficient use of resources, storage, spillage.</w:t>
            </w:r>
          </w:p>
        </w:tc>
        <w:tc>
          <w:tcPr>
            <w:tcW w:w="8827" w:type="dxa"/>
          </w:tcPr>
          <w:p w14:paraId="73008E81" w14:textId="7346FDD8" w:rsidR="002B06DD" w:rsidRPr="00B76768" w:rsidRDefault="002B06DD" w:rsidP="002B06DD">
            <w:r w:rsidRPr="006C7948">
              <w:rPr>
                <w:rFonts w:ascii="Comic Sans MS" w:hAnsi="Comic Sans MS"/>
                <w:i/>
                <w:sz w:val="22"/>
                <w:szCs w:val="22"/>
              </w:rPr>
              <w:t>Potential for spills and run-off from fuel and oil storage areas</w:t>
            </w:r>
            <w:r w:rsidR="00B77C2E">
              <w:rPr>
                <w:rFonts w:ascii="Comic Sans MS" w:hAnsi="Comic Sans MS"/>
                <w:i/>
                <w:sz w:val="22"/>
                <w:szCs w:val="22"/>
              </w:rPr>
              <w:t>.</w:t>
            </w:r>
          </w:p>
        </w:tc>
      </w:tr>
    </w:tbl>
    <w:p w14:paraId="6CAA97D3" w14:textId="77777777" w:rsidR="002837B1" w:rsidRPr="00B76768" w:rsidRDefault="002837B1" w:rsidP="000921E1">
      <w:pPr>
        <w:rPr>
          <w:sz w:val="8"/>
          <w:szCs w:val="2"/>
        </w:rPr>
      </w:pPr>
    </w:p>
    <w:sectPr w:rsidR="002837B1" w:rsidRPr="00B76768" w:rsidSect="00737B94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BF8F2" w14:textId="77777777" w:rsidR="000005B8" w:rsidRDefault="000005B8" w:rsidP="00FC2B2C">
      <w:pPr>
        <w:spacing w:before="0" w:after="0"/>
      </w:pPr>
      <w:r>
        <w:separator/>
      </w:r>
    </w:p>
  </w:endnote>
  <w:endnote w:type="continuationSeparator" w:id="0">
    <w:p w14:paraId="6CA2992A" w14:textId="77777777" w:rsidR="000005B8" w:rsidRDefault="000005B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90BD" w14:textId="3ACE09B5" w:rsidR="00FC2B2C" w:rsidRDefault="00FC2B2C" w:rsidP="00FC2B2C">
    <w:pPr>
      <w:pStyle w:val="Footer"/>
      <w:spacing w:before="120"/>
    </w:pPr>
    <w:r>
      <w:t xml:space="preserve">Freshcare </w:t>
    </w:r>
    <w:r w:rsidR="00B76768">
      <w:t>Environmental 3</w:t>
    </w:r>
    <w:r w:rsidR="00B76768" w:rsidRPr="00B76768">
      <w:rPr>
        <w:vertAlign w:val="superscript"/>
      </w:rPr>
      <w:t>rd</w:t>
    </w:r>
    <w:r w:rsidR="00B76768">
      <w:t xml:space="preserve"> </w:t>
    </w:r>
    <w:r>
      <w:t>Edition</w:t>
    </w:r>
    <w:r w:rsidR="00A56CAD">
      <w:t xml:space="preserve"> – </w:t>
    </w:r>
    <w:r w:rsidR="00B76768">
      <w:t>E1 EAP assessments</w:t>
    </w:r>
    <w:r>
      <w:t xml:space="preserve"> </w:t>
    </w:r>
    <w:r w:rsidR="0051558A">
      <w:t xml:space="preserve">– </w:t>
    </w:r>
    <w:r w:rsidR="000D6E8E">
      <w:t>Ref1603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EF7114" w:rsidRPr="00EF7114" w14:paraId="754922F8" w14:textId="77777777" w:rsidTr="00EF7114">
      <w:tc>
        <w:tcPr>
          <w:tcW w:w="3847" w:type="dxa"/>
          <w:vAlign w:val="center"/>
        </w:tcPr>
        <w:p w14:paraId="3B483449" w14:textId="5C66A80C" w:rsidR="00EF7114" w:rsidRPr="00EF7114" w:rsidRDefault="00EF711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FRESHCARE AWISSP – VIT1</w:t>
          </w:r>
        </w:p>
      </w:tc>
      <w:tc>
        <w:tcPr>
          <w:tcW w:w="3847" w:type="dxa"/>
          <w:vAlign w:val="center"/>
        </w:tcPr>
        <w:p w14:paraId="5C0AA84A" w14:textId="625C1E8B" w:rsidR="00EF7114" w:rsidRPr="00EF7114" w:rsidRDefault="00EF7114" w:rsidP="00EE7A3B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FORM - M2 S</w:t>
          </w:r>
          <w:r w:rsidR="00EE7A3B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AP</w:t>
          </w: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 xml:space="preserve"> ASSESSMENT</w:t>
          </w:r>
        </w:p>
      </w:tc>
      <w:tc>
        <w:tcPr>
          <w:tcW w:w="3847" w:type="dxa"/>
          <w:vAlign w:val="center"/>
        </w:tcPr>
        <w:p w14:paraId="1FE6FB92" w14:textId="57B51FE4" w:rsidR="00EF7114" w:rsidRPr="00EF7114" w:rsidRDefault="00737B9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Ref - 1.0</w:t>
          </w:r>
        </w:p>
      </w:tc>
      <w:tc>
        <w:tcPr>
          <w:tcW w:w="3847" w:type="dxa"/>
          <w:vAlign w:val="center"/>
        </w:tcPr>
        <w:p w14:paraId="7B4DDDF6" w14:textId="5AC5C2BF" w:rsidR="00EF7114" w:rsidRPr="00EF7114" w:rsidRDefault="00EF711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begin"/>
          </w:r>
          <w:r w:rsidRPr="00EF7114">
            <w:rPr>
              <w:rFonts w:asciiTheme="minorHAnsi" w:hAnsiTheme="minorHAnsi" w:cstheme="min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separate"/>
          </w:r>
          <w:r w:rsidR="00EE31AD">
            <w:rPr>
              <w:rFonts w:asciiTheme="minorHAnsi" w:hAnsiTheme="minorHAnsi" w:cstheme="minorHAnsi"/>
              <w:b/>
              <w:bCs/>
              <w:noProof/>
              <w:sz w:val="16"/>
              <w:szCs w:val="16"/>
            </w:rPr>
            <w:t>1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end"/>
          </w:r>
          <w:r w:rsidRPr="00EF7114">
            <w:rPr>
              <w:rFonts w:asciiTheme="minorHAnsi" w:hAnsiTheme="minorHAnsi" w:cstheme="minorHAnsi"/>
              <w:sz w:val="16"/>
              <w:szCs w:val="16"/>
            </w:rPr>
            <w:t xml:space="preserve"> OF 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begin"/>
          </w:r>
          <w:r w:rsidRPr="00EF7114">
            <w:rPr>
              <w:rFonts w:asciiTheme="minorHAnsi" w:hAnsiTheme="minorHAnsi" w:cstheme="min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separate"/>
          </w:r>
          <w:r w:rsidR="00EE31AD">
            <w:rPr>
              <w:rFonts w:asciiTheme="minorHAnsi" w:hAnsiTheme="minorHAnsi" w:cstheme="minorHAnsi"/>
              <w:b/>
              <w:bCs/>
              <w:noProof/>
              <w:sz w:val="16"/>
              <w:szCs w:val="16"/>
            </w:rPr>
            <w:t>1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end"/>
          </w:r>
        </w:p>
      </w:tc>
    </w:tr>
  </w:tbl>
  <w:p w14:paraId="237D829A" w14:textId="3FBB11DC" w:rsidR="00EF7114" w:rsidRDefault="00EF7114" w:rsidP="00EF7114">
    <w:pPr>
      <w:tabs>
        <w:tab w:val="left" w:pos="7088"/>
      </w:tabs>
      <w:autoSpaceDE w:val="0"/>
      <w:autoSpaceDN w:val="0"/>
      <w:adjustRightInd w:val="0"/>
      <w:spacing w:before="120" w:after="0"/>
      <w:rPr>
        <w:b/>
        <w:bCs/>
        <w:sz w:val="20"/>
        <w:szCs w:val="20"/>
      </w:rPr>
    </w:pP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b/>
        <w:bCs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863E3" w14:textId="77777777" w:rsidR="000005B8" w:rsidRDefault="000005B8" w:rsidP="00FC2B2C">
      <w:pPr>
        <w:spacing w:before="0" w:after="0"/>
      </w:pPr>
      <w:r>
        <w:separator/>
      </w:r>
    </w:p>
  </w:footnote>
  <w:footnote w:type="continuationSeparator" w:id="0">
    <w:p w14:paraId="57550B6A" w14:textId="77777777" w:rsidR="000005B8" w:rsidRDefault="000005B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0046" w14:textId="364A7418" w:rsidR="00C90984" w:rsidRPr="00C90984" w:rsidRDefault="00C90984" w:rsidP="00C90984">
    <w:pPr>
      <w:pStyle w:val="Header"/>
      <w:spacing w:after="120"/>
      <w:rPr>
        <w:b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F795" w14:textId="517A5CA3" w:rsidR="00C90984" w:rsidRPr="00C90984" w:rsidRDefault="00B56E2C" w:rsidP="00C90984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M2</w:t>
    </w:r>
    <w:r w:rsidR="00B76768">
      <w:rPr>
        <w:b/>
        <w:sz w:val="32"/>
        <w:szCs w:val="32"/>
      </w:rPr>
      <w:t xml:space="preserve"> </w:t>
    </w:r>
    <w:r w:rsidR="00EE7A3B">
      <w:rPr>
        <w:b/>
        <w:sz w:val="32"/>
        <w:szCs w:val="32"/>
      </w:rPr>
      <w:t xml:space="preserve">SAP </w:t>
    </w:r>
    <w:r w:rsidR="00737B94">
      <w:rPr>
        <w:b/>
        <w:sz w:val="32"/>
        <w:szCs w:val="32"/>
      </w:rPr>
      <w:t>A</w:t>
    </w:r>
    <w:r w:rsidR="00B76768">
      <w:rPr>
        <w:b/>
        <w:sz w:val="32"/>
        <w:szCs w:val="32"/>
      </w:rPr>
      <w:t>ssessment</w:t>
    </w:r>
    <w:r w:rsidR="00905D1B">
      <w:rPr>
        <w:b/>
        <w:sz w:val="32"/>
        <w:szCs w:val="32"/>
      </w:rPr>
      <w:t xml:space="preserve"> (Example)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8632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A322A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36286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A73B77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E47C70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386B0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73776E9E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05B8"/>
    <w:rsid w:val="0008000B"/>
    <w:rsid w:val="000921E1"/>
    <w:rsid w:val="000D6E8E"/>
    <w:rsid w:val="000E40DA"/>
    <w:rsid w:val="00101021"/>
    <w:rsid w:val="00141BDB"/>
    <w:rsid w:val="0017656E"/>
    <w:rsid w:val="00204858"/>
    <w:rsid w:val="0021052F"/>
    <w:rsid w:val="00221DE5"/>
    <w:rsid w:val="00243940"/>
    <w:rsid w:val="00250971"/>
    <w:rsid w:val="002837B1"/>
    <w:rsid w:val="00286B78"/>
    <w:rsid w:val="002B06DD"/>
    <w:rsid w:val="002E7169"/>
    <w:rsid w:val="00300ABB"/>
    <w:rsid w:val="00334DBA"/>
    <w:rsid w:val="00335C45"/>
    <w:rsid w:val="00351AF1"/>
    <w:rsid w:val="0035672C"/>
    <w:rsid w:val="0036213F"/>
    <w:rsid w:val="003900BA"/>
    <w:rsid w:val="003D0FA7"/>
    <w:rsid w:val="00401240"/>
    <w:rsid w:val="00441875"/>
    <w:rsid w:val="004547F3"/>
    <w:rsid w:val="004A1136"/>
    <w:rsid w:val="004E43BA"/>
    <w:rsid w:val="0051558A"/>
    <w:rsid w:val="0053336D"/>
    <w:rsid w:val="00555255"/>
    <w:rsid w:val="005C20F1"/>
    <w:rsid w:val="005D2F1C"/>
    <w:rsid w:val="005E1ADF"/>
    <w:rsid w:val="005E2917"/>
    <w:rsid w:val="005E7F26"/>
    <w:rsid w:val="00604C1A"/>
    <w:rsid w:val="00605696"/>
    <w:rsid w:val="00612AE4"/>
    <w:rsid w:val="006273EE"/>
    <w:rsid w:val="00637290"/>
    <w:rsid w:val="00696694"/>
    <w:rsid w:val="006E3AEB"/>
    <w:rsid w:val="006E4E98"/>
    <w:rsid w:val="00701603"/>
    <w:rsid w:val="00737B94"/>
    <w:rsid w:val="00792AE3"/>
    <w:rsid w:val="007C3003"/>
    <w:rsid w:val="00813955"/>
    <w:rsid w:val="00813E55"/>
    <w:rsid w:val="0084464D"/>
    <w:rsid w:val="00847A6B"/>
    <w:rsid w:val="008639F4"/>
    <w:rsid w:val="0088743B"/>
    <w:rsid w:val="008B5506"/>
    <w:rsid w:val="008F1515"/>
    <w:rsid w:val="00905D1B"/>
    <w:rsid w:val="009B7837"/>
    <w:rsid w:val="009B7A4D"/>
    <w:rsid w:val="00A3690B"/>
    <w:rsid w:val="00A36BBC"/>
    <w:rsid w:val="00A56CAD"/>
    <w:rsid w:val="00A56D4D"/>
    <w:rsid w:val="00AC3076"/>
    <w:rsid w:val="00AF4202"/>
    <w:rsid w:val="00B56E2C"/>
    <w:rsid w:val="00B72E58"/>
    <w:rsid w:val="00B76768"/>
    <w:rsid w:val="00B77C2E"/>
    <w:rsid w:val="00BB08D5"/>
    <w:rsid w:val="00BF4B89"/>
    <w:rsid w:val="00C00924"/>
    <w:rsid w:val="00C532D6"/>
    <w:rsid w:val="00C90984"/>
    <w:rsid w:val="00D25B65"/>
    <w:rsid w:val="00D3586E"/>
    <w:rsid w:val="00D35946"/>
    <w:rsid w:val="00D422A0"/>
    <w:rsid w:val="00D632AB"/>
    <w:rsid w:val="00D87978"/>
    <w:rsid w:val="00DA1854"/>
    <w:rsid w:val="00DA22EF"/>
    <w:rsid w:val="00DA2365"/>
    <w:rsid w:val="00E01C11"/>
    <w:rsid w:val="00E20EDB"/>
    <w:rsid w:val="00E30D7F"/>
    <w:rsid w:val="00E331AB"/>
    <w:rsid w:val="00E62B7D"/>
    <w:rsid w:val="00E73224"/>
    <w:rsid w:val="00E83A5A"/>
    <w:rsid w:val="00EE0403"/>
    <w:rsid w:val="00EE180D"/>
    <w:rsid w:val="00EE31AD"/>
    <w:rsid w:val="00EE7A3B"/>
    <w:rsid w:val="00EF7114"/>
    <w:rsid w:val="00F254CD"/>
    <w:rsid w:val="00F26A9D"/>
    <w:rsid w:val="00F57578"/>
    <w:rsid w:val="00F6751B"/>
    <w:rsid w:val="00F8532E"/>
    <w:rsid w:val="00FB3C50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F6195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2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2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441875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09936-EAB6-4976-BDE6-0FD1CACA32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D5D962-E60D-4BAF-9920-E3F589C7F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71383-da5b-476c-b0a8-300e6ee9ab73"/>
    <ds:schemaRef ds:uri="1cdbfd6a-5ce7-4e69-afbb-faaa555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DCE238-6599-4C6F-A2A0-157CF57AE0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C92AE2-80DB-493D-958A-0630B8DD3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M2 SAP assessment</vt:lpstr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M2 SAP assessment</dc:title>
  <dc:subject/>
  <dc:creator>Freshcare Ltd</dc:creator>
  <cp:keywords/>
  <dc:description/>
  <cp:lastModifiedBy>Christa Schwarz</cp:lastModifiedBy>
  <cp:revision>2</cp:revision>
  <cp:lastPrinted>2021-02-16T23:53:00Z</cp:lastPrinted>
  <dcterms:created xsi:type="dcterms:W3CDTF">2021-10-07T05:35:00Z</dcterms:created>
  <dcterms:modified xsi:type="dcterms:W3CDTF">2021-10-07T05:35:00Z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